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093469BE" w:rsidR="00BA507B" w:rsidRPr="003C2464"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3C2464" w:rsidRPr="003C2464">
        <w:rPr>
          <w:rFonts w:ascii="Times New Roman" w:hAnsi="Times New Roman" w:cs="Times New Roman"/>
          <w:sz w:val="24"/>
          <w:szCs w:val="24"/>
        </w:rPr>
        <w:t xml:space="preserve">Arnett </w:t>
      </w:r>
      <w:proofErr w:type="spellStart"/>
      <w:r w:rsidR="003C2464" w:rsidRPr="003C2464">
        <w:rPr>
          <w:rFonts w:ascii="Times New Roman" w:hAnsi="Times New Roman" w:cs="Times New Roman"/>
          <w:sz w:val="24"/>
          <w:szCs w:val="24"/>
        </w:rPr>
        <w:t>Carviel</w:t>
      </w:r>
      <w:proofErr w:type="spellEnd"/>
      <w:r w:rsidRPr="003C2464">
        <w:rPr>
          <w:rFonts w:ascii="Times New Roman" w:eastAsia="Times New Roman" w:hAnsi="Times New Roman" w:cs="Times New Roman"/>
          <w:sz w:val="24"/>
          <w:szCs w:val="24"/>
        </w:rPr>
        <w:t xml:space="preserve">, </w:t>
      </w:r>
      <w:r w:rsidR="003C2464" w:rsidRPr="003C2464">
        <w:rPr>
          <w:rFonts w:ascii="Times New Roman" w:eastAsia="Times New Roman" w:hAnsi="Times New Roman" w:cs="Baskerville Old Face"/>
          <w:sz w:val="24"/>
          <w:szCs w:val="24"/>
        </w:rPr>
        <w:t>Attorney</w:t>
      </w:r>
    </w:p>
    <w:p w14:paraId="43DBA660" w14:textId="34CEF9D6" w:rsidR="00BA507B" w:rsidRPr="003C2464" w:rsidRDefault="003C2464" w:rsidP="00BA507B">
      <w:pPr>
        <w:ind w:left="720" w:firstLine="720"/>
        <w:jc w:val="both"/>
        <w:rPr>
          <w:rFonts w:ascii="Times New Roman" w:hAnsi="Times New Roman" w:cs="Times New Roman"/>
          <w:sz w:val="24"/>
          <w:szCs w:val="24"/>
        </w:rPr>
      </w:pPr>
      <w:r w:rsidRPr="003C2464">
        <w:rPr>
          <w:rFonts w:ascii="Times New Roman" w:eastAsia="Times New Roman" w:hAnsi="Times New Roman" w:cs="Times New Roman"/>
          <w:sz w:val="24"/>
          <w:szCs w:val="24"/>
        </w:rPr>
        <w:t xml:space="preserve">Legal </w:t>
      </w:r>
      <w:r w:rsidR="00BA507B" w:rsidRPr="003C2464">
        <w:rPr>
          <w:rFonts w:ascii="Times New Roman" w:eastAsia="Times New Roman" w:hAnsi="Times New Roman" w:cs="Times New Roman"/>
          <w:sz w:val="24"/>
          <w:szCs w:val="24"/>
        </w:rPr>
        <w:t>Division</w:t>
      </w:r>
    </w:p>
    <w:p w14:paraId="5C8A7F79" w14:textId="77777777" w:rsidR="00BA507B" w:rsidRPr="003C2464" w:rsidRDefault="00BA507B" w:rsidP="00BA507B">
      <w:pPr>
        <w:tabs>
          <w:tab w:val="left" w:pos="1440"/>
        </w:tabs>
        <w:jc w:val="both"/>
        <w:rPr>
          <w:rFonts w:ascii="Times New Roman" w:hAnsi="Times New Roman" w:cs="Times New Roman"/>
          <w:sz w:val="24"/>
          <w:szCs w:val="24"/>
        </w:rPr>
      </w:pPr>
    </w:p>
    <w:p w14:paraId="4849338D" w14:textId="40FC18E4" w:rsidR="00BA507B" w:rsidRPr="003C2464" w:rsidRDefault="00BA507B" w:rsidP="00BA507B">
      <w:pPr>
        <w:jc w:val="both"/>
        <w:rPr>
          <w:rFonts w:ascii="Times New Roman" w:eastAsia="Times New Roman" w:hAnsi="Times New Roman" w:cs="Baskerville Old Face"/>
          <w:b/>
          <w:bCs/>
          <w:sz w:val="24"/>
          <w:szCs w:val="24"/>
        </w:rPr>
      </w:pPr>
      <w:r w:rsidRPr="003C2464">
        <w:rPr>
          <w:rFonts w:ascii="Times New Roman" w:hAnsi="Times New Roman" w:cs="Times New Roman"/>
          <w:b/>
          <w:sz w:val="24"/>
          <w:szCs w:val="24"/>
        </w:rPr>
        <w:t>FROM:</w:t>
      </w:r>
      <w:r w:rsidRPr="003C2464">
        <w:rPr>
          <w:rFonts w:ascii="Times New Roman" w:hAnsi="Times New Roman" w:cs="Times New Roman"/>
          <w:b/>
          <w:sz w:val="24"/>
          <w:szCs w:val="24"/>
        </w:rPr>
        <w:tab/>
      </w:r>
      <w:r w:rsidR="003C2464" w:rsidRPr="003C2464">
        <w:rPr>
          <w:rFonts w:ascii="Times New Roman" w:hAnsi="Times New Roman" w:cs="Times New Roman"/>
          <w:bCs/>
          <w:sz w:val="24"/>
          <w:szCs w:val="24"/>
        </w:rPr>
        <w:t>Fred Bednarski III</w:t>
      </w:r>
      <w:r w:rsidRPr="003C2464">
        <w:rPr>
          <w:rFonts w:ascii="Times New Roman" w:eastAsia="Times New Roman" w:hAnsi="Times New Roman" w:cs="Baskerville Old Face"/>
          <w:bCs/>
          <w:sz w:val="24"/>
          <w:szCs w:val="24"/>
        </w:rPr>
        <w:t>,</w:t>
      </w:r>
      <w:r w:rsidRPr="003C2464">
        <w:rPr>
          <w:rFonts w:ascii="Times New Roman" w:eastAsia="Times New Roman" w:hAnsi="Times New Roman" w:cs="Baskerville Old Face"/>
          <w:sz w:val="24"/>
          <w:szCs w:val="24"/>
        </w:rPr>
        <w:t xml:space="preserve"> </w:t>
      </w:r>
      <w:bookmarkStart w:id="1" w:name="_Hlk61339093"/>
      <w:r w:rsidRPr="003C2464">
        <w:rPr>
          <w:rFonts w:ascii="Times New Roman" w:eastAsia="Times New Roman" w:hAnsi="Times New Roman" w:cs="Baskerville Old Face"/>
          <w:sz w:val="24"/>
          <w:szCs w:val="24"/>
        </w:rPr>
        <w:t>Financial Analyst</w:t>
      </w:r>
    </w:p>
    <w:bookmarkEnd w:id="1"/>
    <w:p w14:paraId="3B4B85F5" w14:textId="77777777" w:rsidR="00BA507B" w:rsidRPr="003C2464" w:rsidRDefault="00BA507B" w:rsidP="00BA507B">
      <w:pPr>
        <w:ind w:left="1440"/>
        <w:jc w:val="both"/>
        <w:rPr>
          <w:rFonts w:ascii="Times New Roman" w:eastAsia="Times New Roman" w:hAnsi="Times New Roman" w:cs="Times New Roman"/>
          <w:sz w:val="24"/>
          <w:szCs w:val="24"/>
        </w:rPr>
      </w:pPr>
      <w:r w:rsidRPr="003C2464">
        <w:rPr>
          <w:rFonts w:ascii="Times New Roman" w:eastAsia="Times New Roman" w:hAnsi="Times New Roman" w:cs="Times New Roman"/>
          <w:sz w:val="24"/>
          <w:szCs w:val="24"/>
        </w:rPr>
        <w:t>Rate Regulation Division</w:t>
      </w:r>
    </w:p>
    <w:p w14:paraId="5B5EEAC2" w14:textId="77777777" w:rsidR="00BA507B" w:rsidRPr="003C2464" w:rsidRDefault="00BA507B" w:rsidP="00BA507B">
      <w:pPr>
        <w:tabs>
          <w:tab w:val="left" w:pos="1170"/>
        </w:tabs>
        <w:jc w:val="both"/>
        <w:outlineLvl w:val="0"/>
        <w:rPr>
          <w:rFonts w:ascii="Times New Roman" w:hAnsi="Times New Roman" w:cs="Times New Roman"/>
          <w:sz w:val="24"/>
          <w:szCs w:val="24"/>
        </w:rPr>
      </w:pPr>
    </w:p>
    <w:p w14:paraId="6360FDC0" w14:textId="7FC0A987" w:rsidR="00BA507B" w:rsidRPr="003C2464" w:rsidRDefault="00BA507B" w:rsidP="00BA507B">
      <w:pPr>
        <w:tabs>
          <w:tab w:val="left" w:pos="1170"/>
        </w:tabs>
        <w:jc w:val="both"/>
        <w:rPr>
          <w:rFonts w:ascii="Times New Roman" w:hAnsi="Times New Roman" w:cs="Times New Roman"/>
          <w:bCs/>
          <w:sz w:val="24"/>
          <w:szCs w:val="24"/>
        </w:rPr>
      </w:pPr>
      <w:r w:rsidRPr="003C2464">
        <w:rPr>
          <w:rFonts w:ascii="Times New Roman" w:hAnsi="Times New Roman" w:cs="Times New Roman"/>
          <w:b/>
          <w:sz w:val="24"/>
          <w:szCs w:val="24"/>
        </w:rPr>
        <w:t>DATE:</w:t>
      </w:r>
      <w:r w:rsidRPr="003C2464">
        <w:rPr>
          <w:rFonts w:ascii="Times New Roman" w:hAnsi="Times New Roman" w:cs="Times New Roman"/>
          <w:b/>
          <w:sz w:val="24"/>
          <w:szCs w:val="24"/>
        </w:rPr>
        <w:tab/>
      </w:r>
      <w:r w:rsidRPr="003C2464">
        <w:rPr>
          <w:rFonts w:ascii="Times New Roman" w:hAnsi="Times New Roman" w:cs="Times New Roman"/>
          <w:b/>
          <w:sz w:val="24"/>
          <w:szCs w:val="24"/>
        </w:rPr>
        <w:tab/>
      </w:r>
      <w:r w:rsidR="003C2464" w:rsidRPr="003C2464">
        <w:rPr>
          <w:rFonts w:ascii="Times New Roman" w:hAnsi="Times New Roman" w:cs="Times New Roman"/>
          <w:bCs/>
          <w:sz w:val="24"/>
          <w:szCs w:val="24"/>
        </w:rPr>
        <w:t>February</w:t>
      </w:r>
      <w:r w:rsidRPr="003C2464">
        <w:rPr>
          <w:rFonts w:ascii="Times New Roman" w:hAnsi="Times New Roman" w:cs="Times New Roman"/>
          <w:bCs/>
          <w:sz w:val="24"/>
          <w:szCs w:val="24"/>
        </w:rPr>
        <w:t xml:space="preserve"> </w:t>
      </w:r>
      <w:r w:rsidR="003C2464" w:rsidRPr="003C2464">
        <w:rPr>
          <w:rFonts w:ascii="Times New Roman" w:hAnsi="Times New Roman" w:cs="Times New Roman"/>
          <w:bCs/>
          <w:sz w:val="24"/>
          <w:szCs w:val="24"/>
        </w:rPr>
        <w:t>4</w:t>
      </w:r>
      <w:r w:rsidRPr="003C2464">
        <w:rPr>
          <w:rFonts w:ascii="Times New Roman" w:hAnsi="Times New Roman" w:cs="Times New Roman"/>
          <w:bCs/>
          <w:sz w:val="24"/>
          <w:szCs w:val="24"/>
        </w:rPr>
        <w:t xml:space="preserve">, </w:t>
      </w:r>
      <w:r w:rsidR="003C2464" w:rsidRPr="003C2464">
        <w:rPr>
          <w:rFonts w:ascii="Times New Roman" w:hAnsi="Times New Roman" w:cs="Times New Roman"/>
          <w:bCs/>
          <w:sz w:val="24"/>
          <w:szCs w:val="24"/>
        </w:rPr>
        <w:t>2022</w:t>
      </w:r>
    </w:p>
    <w:p w14:paraId="1AF39076" w14:textId="77777777" w:rsidR="00BA507B" w:rsidRPr="00D240D8" w:rsidRDefault="00BA507B" w:rsidP="00BA507B">
      <w:pPr>
        <w:tabs>
          <w:tab w:val="left" w:pos="1170"/>
        </w:tabs>
        <w:jc w:val="both"/>
        <w:rPr>
          <w:rFonts w:ascii="Times New Roman" w:hAnsi="Times New Roman" w:cs="Times New Roman"/>
          <w:sz w:val="24"/>
          <w:szCs w:val="24"/>
        </w:rPr>
      </w:pPr>
    </w:p>
    <w:p w14:paraId="0CF9ACF4" w14:textId="6FF076FD" w:rsidR="00BA507B" w:rsidRPr="003C2464" w:rsidRDefault="00BA507B" w:rsidP="00BA507B">
      <w:pPr>
        <w:pBdr>
          <w:bottom w:val="single" w:sz="4" w:space="1" w:color="auto"/>
        </w:pBdr>
        <w:ind w:left="1440" w:hanging="1440"/>
        <w:jc w:val="both"/>
        <w:rPr>
          <w:rFonts w:ascii="Times New Roman" w:hAnsi="Times New Roman" w:cs="Times New Roman"/>
          <w:b/>
          <w:bCs/>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sidRPr="003C2464">
        <w:rPr>
          <w:rFonts w:ascii="Times New Roman" w:eastAsia="Times New Roman" w:hAnsi="Times New Roman" w:cs="Times New Roman"/>
          <w:bCs/>
          <w:sz w:val="24"/>
          <w:szCs w:val="24"/>
        </w:rPr>
        <w:t xml:space="preserve">Docket No. </w:t>
      </w:r>
      <w:r w:rsidR="003C2464" w:rsidRPr="003C2464">
        <w:rPr>
          <w:rFonts w:ascii="Times New Roman" w:eastAsia="Times New Roman" w:hAnsi="Times New Roman" w:cs="Times New Roman"/>
          <w:bCs/>
          <w:sz w:val="24"/>
          <w:szCs w:val="24"/>
        </w:rPr>
        <w:t>52492</w:t>
      </w:r>
      <w:r w:rsidRPr="003C2464">
        <w:rPr>
          <w:bCs/>
          <w:sz w:val="24"/>
          <w:szCs w:val="24"/>
        </w:rPr>
        <w:t xml:space="preserve"> - </w:t>
      </w:r>
      <w:r w:rsidR="003C2464">
        <w:rPr>
          <w:rFonts w:ascii="Times New Roman" w:eastAsia="Times New Roman" w:hAnsi="Times New Roman" w:cs="Times New Roman"/>
          <w:bCs/>
          <w:i/>
          <w:sz w:val="24"/>
          <w:szCs w:val="24"/>
        </w:rPr>
        <w:t>Application of SWWC Utilities, Inc. dba Hornsby Bend Utility Company, Inc. to Amend Its Certificates of Convenience and Necessity in Travis County</w:t>
      </w:r>
    </w:p>
    <w:p w14:paraId="0010E846" w14:textId="77777777" w:rsidR="009A0254" w:rsidRPr="003C2464"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7DCC89AB" w14:textId="77777777" w:rsidR="00DC475E" w:rsidRDefault="00DC475E">
      <w:pPr>
        <w:pStyle w:val="BodyText"/>
        <w:spacing w:after="0"/>
        <w:jc w:val="both"/>
        <w:rPr>
          <w:rFonts w:ascii="Calibri" w:hAnsi="Calibri" w:cs="Calibri"/>
          <w:b/>
          <w:bCs/>
        </w:rPr>
      </w:pPr>
    </w:p>
    <w:p w14:paraId="36306882" w14:textId="5A27CE23" w:rsidR="00337428" w:rsidRPr="00630EEB" w:rsidRDefault="00DC475E">
      <w:pPr>
        <w:pStyle w:val="BodyText"/>
        <w:spacing w:after="0"/>
        <w:jc w:val="both"/>
        <w:rPr>
          <w:rFonts w:ascii="Times New Roman" w:hAnsi="Times New Roman" w:cs="Times New Roman"/>
        </w:rPr>
      </w:pPr>
      <w:r w:rsidRPr="00DC475E">
        <w:rPr>
          <w:rFonts w:ascii="Times New Roman" w:hAnsi="Times New Roman" w:cs="Times New Roman"/>
        </w:rPr>
        <w:t>On September 1, 2021, SWWC Utilities, Inc. dba Hornsby Bend Utility Company, Inc. (</w:t>
      </w:r>
      <w:bookmarkStart w:id="2" w:name="_Hlk94004658"/>
      <w:r w:rsidRPr="00DC475E">
        <w:rPr>
          <w:rFonts w:ascii="Times New Roman" w:hAnsi="Times New Roman" w:cs="Times New Roman"/>
        </w:rPr>
        <w:t>SWWC Utilities</w:t>
      </w:r>
      <w:bookmarkEnd w:id="2"/>
      <w:r w:rsidRPr="00DC475E">
        <w:rPr>
          <w:rFonts w:ascii="Times New Roman" w:hAnsi="Times New Roman" w:cs="Times New Roman"/>
        </w:rPr>
        <w:t>) filed an application to add approximately 32</w:t>
      </w:r>
      <w:r>
        <w:rPr>
          <w:rFonts w:ascii="Times New Roman" w:hAnsi="Times New Roman" w:cs="Times New Roman"/>
        </w:rPr>
        <w:t>3</w:t>
      </w:r>
      <w:r w:rsidRPr="00DC475E">
        <w:rPr>
          <w:rFonts w:ascii="Times New Roman" w:hAnsi="Times New Roman" w:cs="Times New Roman"/>
        </w:rPr>
        <w:t xml:space="preserve"> acres to its </w:t>
      </w:r>
      <w:r w:rsidR="00E4231A">
        <w:rPr>
          <w:rFonts w:ascii="Times New Roman" w:hAnsi="Times New Roman" w:cs="Times New Roman"/>
        </w:rPr>
        <w:t>C</w:t>
      </w:r>
      <w:r w:rsidRPr="00DC475E">
        <w:rPr>
          <w:rFonts w:ascii="Times New Roman" w:hAnsi="Times New Roman" w:cs="Times New Roman"/>
        </w:rPr>
        <w:t xml:space="preserve">ertificate of </w:t>
      </w:r>
      <w:r w:rsidR="00E4231A">
        <w:rPr>
          <w:rFonts w:ascii="Times New Roman" w:hAnsi="Times New Roman" w:cs="Times New Roman"/>
        </w:rPr>
        <w:t>C</w:t>
      </w:r>
      <w:r w:rsidRPr="00DC475E">
        <w:rPr>
          <w:rFonts w:ascii="Times New Roman" w:hAnsi="Times New Roman" w:cs="Times New Roman"/>
        </w:rPr>
        <w:t xml:space="preserve">onvenience and </w:t>
      </w:r>
      <w:r w:rsidR="00E4231A">
        <w:rPr>
          <w:rFonts w:ascii="Times New Roman" w:hAnsi="Times New Roman" w:cs="Times New Roman"/>
        </w:rPr>
        <w:t>N</w:t>
      </w:r>
      <w:r w:rsidRPr="00DC475E">
        <w:rPr>
          <w:rFonts w:ascii="Times New Roman" w:hAnsi="Times New Roman" w:cs="Times New Roman"/>
        </w:rPr>
        <w:t>ecessity (CCN) No. 11978</w:t>
      </w:r>
      <w:r>
        <w:rPr>
          <w:rFonts w:ascii="Times New Roman" w:hAnsi="Times New Roman" w:cs="Times New Roman"/>
        </w:rPr>
        <w:t xml:space="preserve"> to provide water service</w:t>
      </w:r>
      <w:r w:rsidRPr="00DC475E">
        <w:rPr>
          <w:rFonts w:ascii="Times New Roman" w:hAnsi="Times New Roman" w:cs="Times New Roman"/>
        </w:rPr>
        <w:t xml:space="preserve"> and</w:t>
      </w:r>
      <w:r>
        <w:rPr>
          <w:rFonts w:ascii="Times New Roman" w:hAnsi="Times New Roman" w:cs="Times New Roman"/>
        </w:rPr>
        <w:t xml:space="preserve"> 332 acres to its CCN No.</w:t>
      </w:r>
      <w:r w:rsidRPr="00DC475E">
        <w:rPr>
          <w:rFonts w:ascii="Times New Roman" w:hAnsi="Times New Roman" w:cs="Times New Roman"/>
        </w:rPr>
        <w:t xml:space="preserve"> 20650 to provide</w:t>
      </w:r>
      <w:r>
        <w:rPr>
          <w:rFonts w:ascii="Times New Roman" w:hAnsi="Times New Roman" w:cs="Times New Roman"/>
        </w:rPr>
        <w:t xml:space="preserve"> </w:t>
      </w:r>
      <w:r w:rsidRPr="00DC475E">
        <w:rPr>
          <w:rFonts w:ascii="Times New Roman" w:hAnsi="Times New Roman" w:cs="Times New Roman"/>
        </w:rPr>
        <w:t>sewer service.</w:t>
      </w:r>
    </w:p>
    <w:p w14:paraId="732303AE" w14:textId="77777777" w:rsidR="003C2464" w:rsidRDefault="003C2464">
      <w:pPr>
        <w:pStyle w:val="BodyText"/>
        <w:spacing w:after="0"/>
        <w:jc w:val="both"/>
        <w:rPr>
          <w:rFonts w:ascii="Times New Roman" w:hAnsi="Times New Roman" w:cs="Times New Roman"/>
        </w:rPr>
      </w:pPr>
    </w:p>
    <w:p w14:paraId="7A26236E" w14:textId="01A5CD47"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bookmarkStart w:id="3" w:name="_Hlk94000705"/>
      <w:r w:rsidR="00954822">
        <w:rPr>
          <w:rFonts w:ascii="Times New Roman" w:hAnsi="Times New Roman" w:cs="Times New Roman"/>
        </w:rPr>
        <w:t>SWWC Utilities</w:t>
      </w:r>
      <w:r w:rsidR="00A266F4">
        <w:rPr>
          <w:rFonts w:ascii="Times New Roman" w:hAnsi="Times New Roman" w:cs="Times New Roman"/>
        </w:rPr>
        <w:t xml:space="preserve"> </w:t>
      </w:r>
      <w:bookmarkEnd w:id="3"/>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954822" w:rsidRPr="00954822">
        <w:rPr>
          <w:rFonts w:ascii="Times New Roman" w:hAnsi="Times New Roman" w:cs="Times New Roman"/>
        </w:rPr>
        <w:t>SWWC Utilities</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954822" w:rsidRPr="00954822">
        <w:rPr>
          <w:rFonts w:ascii="Times New Roman" w:hAnsi="Times New Roman" w:cs="Times New Roman"/>
        </w:rPr>
        <w:t>SWWC Utilities</w:t>
      </w:r>
      <w:r w:rsidR="00954822">
        <w:rPr>
          <w:rFonts w:ascii="Times New Roman" w:hAnsi="Times New Roman" w:cs="Times New Roman"/>
        </w:rPr>
        <w:t>’</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4"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4"/>
      <w:r w:rsidR="00D836BB" w:rsidRPr="00630EEB" w:rsidDel="008015E4">
        <w:rPr>
          <w:rStyle w:val="CommentReference"/>
          <w:rFonts w:asciiTheme="minorHAnsi" w:hAnsiTheme="minorHAnsi"/>
        </w:rPr>
        <w:t xml:space="preserve"> </w:t>
      </w:r>
    </w:p>
    <w:p w14:paraId="58FD9609" w14:textId="63BF3F3B"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5"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6"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5"/>
      <w:bookmarkEnd w:id="6"/>
      <w:r w:rsidRPr="00630EEB">
        <w:rPr>
          <w:rFonts w:ascii="Times New Roman" w:eastAsia="Times New Roman" w:hAnsi="Times New Roman" w:cs="Times New Roman"/>
          <w:sz w:val="24"/>
          <w:szCs w:val="24"/>
        </w:rPr>
        <w:t xml:space="preserve">.  </w:t>
      </w:r>
      <w:r w:rsidR="00985463" w:rsidRPr="00985463">
        <w:rPr>
          <w:rFonts w:ascii="Times New Roman" w:eastAsia="Times New Roman" w:hAnsi="Times New Roman" w:cs="Times New Roman"/>
          <w:sz w:val="24"/>
          <w:szCs w:val="24"/>
        </w:rPr>
        <w:t>SWWC Utilities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5694789A" w14:textId="542A1409" w:rsidR="00680FB0" w:rsidRPr="00F96774" w:rsidRDefault="00600CE9" w:rsidP="00630EEB">
      <w:pPr>
        <w:pStyle w:val="BodyText"/>
        <w:spacing w:after="0"/>
        <w:jc w:val="both"/>
        <w:rPr>
          <w:rFonts w:ascii="Times New Roman" w:eastAsia="Calibri" w:hAnsi="Times New Roman" w:cs="Times New Roman"/>
        </w:rPr>
      </w:pPr>
      <w:r w:rsidRPr="00F96774">
        <w:rPr>
          <w:rFonts w:ascii="Times New Roman" w:eastAsia="Calibri" w:hAnsi="Times New Roman" w:cs="Times New Roman"/>
        </w:rPr>
        <w:t>My</w:t>
      </w:r>
      <w:r w:rsidR="00B137BB" w:rsidRPr="00F96774">
        <w:rPr>
          <w:rFonts w:ascii="Times New Roman" w:eastAsia="Calibri" w:hAnsi="Times New Roman" w:cs="Times New Roman"/>
        </w:rPr>
        <w:t xml:space="preserve"> analysis is based on</w:t>
      </w:r>
      <w:r w:rsidR="00F96774">
        <w:rPr>
          <w:rFonts w:ascii="Times New Roman" w:eastAsia="Calibri" w:hAnsi="Times New Roman" w:cs="Times New Roman"/>
        </w:rPr>
        <w:t xml:space="preserve"> </w:t>
      </w:r>
      <w:r w:rsidR="00F96774" w:rsidRPr="00F96774">
        <w:rPr>
          <w:rFonts w:ascii="Times New Roman" w:eastAsia="Calibri" w:hAnsi="Times New Roman" w:cs="Times New Roman"/>
        </w:rPr>
        <w:t>SSWC Utilities’</w:t>
      </w:r>
      <w:r w:rsidR="00B137BB" w:rsidRPr="00F96774">
        <w:rPr>
          <w:rFonts w:ascii="Times New Roman" w:eastAsia="Calibri" w:hAnsi="Times New Roman" w:cs="Times New Roman"/>
        </w:rPr>
        <w:t xml:space="preserve"> financial statements ending </w:t>
      </w:r>
      <w:r w:rsidR="00985463" w:rsidRPr="00F96774">
        <w:rPr>
          <w:rFonts w:ascii="Times New Roman" w:hAnsi="Times New Roman" w:cs="Times New Roman"/>
        </w:rPr>
        <w:t>December 31, 2020</w:t>
      </w:r>
      <w:r w:rsidR="00B137BB" w:rsidRPr="00F96774">
        <w:rPr>
          <w:rFonts w:ascii="Times New Roman" w:eastAsia="Calibri" w:hAnsi="Times New Roman" w:cs="Times New Roman"/>
        </w:rPr>
        <w:t xml:space="preserve">.  </w:t>
      </w:r>
      <w:r w:rsidR="00F96774" w:rsidRPr="00F96774">
        <w:rPr>
          <w:rFonts w:ascii="Times New Roman" w:eastAsia="Calibri" w:hAnsi="Times New Roman" w:cs="Times New Roman"/>
        </w:rPr>
        <w:t>SSWC Utilities’ financial statements, provided in confidential Attachment FB-1, report a debt-to-equity ratio of 0.0001.  Because the ratio is less than 1.0, SWWC Utilities meets the leverage test specified in 16 TAC § 24.11(e)(2)(A).</w:t>
      </w:r>
    </w:p>
    <w:p w14:paraId="1D3D1779" w14:textId="77777777" w:rsidR="00F96774" w:rsidRDefault="00F96774">
      <w:pPr>
        <w:jc w:val="both"/>
        <w:rPr>
          <w:rFonts w:ascii="Times New Roman" w:eastAsia="Calibri" w:hAnsi="Times New Roman" w:cs="Times New Roman"/>
          <w:i/>
          <w:iCs/>
          <w:sz w:val="24"/>
          <w:szCs w:val="24"/>
          <w:u w:val="single"/>
        </w:rPr>
      </w:pPr>
    </w:p>
    <w:p w14:paraId="15AA92D9" w14:textId="6D4F7B61"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23267E34" w14:textId="16C45261" w:rsidR="0041059D"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w:t>
      </w:r>
    </w:p>
    <w:p w14:paraId="049923A4" w14:textId="77777777" w:rsidR="0041059D" w:rsidRDefault="0041059D">
      <w:pPr>
        <w:jc w:val="both"/>
        <w:rPr>
          <w:rFonts w:ascii="Times New Roman" w:eastAsia="Calibri" w:hAnsi="Times New Roman" w:cs="Times New Roman"/>
          <w:sz w:val="24"/>
          <w:szCs w:val="24"/>
        </w:rPr>
      </w:pPr>
    </w:p>
    <w:p w14:paraId="591128CF" w14:textId="47569729" w:rsidR="00B137BB" w:rsidRPr="00630EEB" w:rsidRDefault="00F96774">
      <w:pPr>
        <w:jc w:val="both"/>
        <w:rPr>
          <w:rFonts w:ascii="Times New Roman" w:eastAsia="Calibri" w:hAnsi="Times New Roman" w:cs="Times New Roman"/>
          <w:sz w:val="24"/>
          <w:szCs w:val="24"/>
        </w:rPr>
      </w:pPr>
      <w:r w:rsidRPr="00F96774">
        <w:rPr>
          <w:rFonts w:ascii="Times New Roman" w:eastAsia="Times New Roman" w:hAnsi="Times New Roman" w:cs="Times New Roman"/>
          <w:sz w:val="24"/>
          <w:szCs w:val="24"/>
        </w:rPr>
        <w:lastRenderedPageBreak/>
        <w:t xml:space="preserve">SSWC Utilities’ financial statements, as provided in confidential Attachment FB-1, include operating income and cash flow information that indicate SSWC Utilities will have sufficient cash to cover projected shortages. </w:t>
      </w:r>
      <w:r w:rsidR="000633EE"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41059D">
        <w:rPr>
          <w:rFonts w:ascii="Times New Roman" w:eastAsia="Calibri" w:hAnsi="Times New Roman" w:cs="Times New Roman"/>
          <w:sz w:val="24"/>
          <w:szCs w:val="24"/>
        </w:rPr>
        <w:t>.</w:t>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41059D">
        <w:rPr>
          <w:rFonts w:ascii="Times New Roman" w:eastAsia="Calibri" w:hAnsi="Times New Roman" w:cs="Times New Roman"/>
          <w:sz w:val="24"/>
          <w:szCs w:val="24"/>
        </w:rPr>
        <w:t>SSWC Utilities</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0FEE62F2"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41059D" w:rsidRPr="0041059D">
        <w:rPr>
          <w:rFonts w:ascii="Times New Roman" w:hAnsi="Times New Roman" w:cs="Times New Roman"/>
          <w:sz w:val="24"/>
          <w:szCs w:val="24"/>
        </w:rPr>
        <w:t>SSWC Utilities</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5044E" w14:textId="77777777" w:rsidR="00B41D18" w:rsidRDefault="00B41D18" w:rsidP="00FC14B8">
      <w:r>
        <w:separator/>
      </w:r>
    </w:p>
  </w:endnote>
  <w:endnote w:type="continuationSeparator" w:id="0">
    <w:p w14:paraId="62A49F12" w14:textId="77777777" w:rsidR="00B41D18" w:rsidRDefault="00B41D18"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40C67" w14:textId="77777777" w:rsidR="00B41D18" w:rsidRDefault="00B41D18" w:rsidP="00FC14B8">
      <w:r>
        <w:separator/>
      </w:r>
    </w:p>
  </w:footnote>
  <w:footnote w:type="continuationSeparator" w:id="0">
    <w:p w14:paraId="064BD341" w14:textId="77777777" w:rsidR="00B41D18" w:rsidRDefault="00B41D18"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78BEF7B6" w:rsidR="00AB1CF5" w:rsidRPr="00F96774"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F96774">
      <w:rPr>
        <w:rFonts w:ascii="Times New Roman" w:hAnsi="Times New Roman" w:cs="Times New Roman"/>
        <w:sz w:val="20"/>
        <w:szCs w:val="20"/>
      </w:rPr>
      <w:t xml:space="preserve">Docket No. </w:t>
    </w:r>
    <w:r w:rsidR="00F96774" w:rsidRPr="00F96774">
      <w:rPr>
        <w:rFonts w:ascii="Times New Roman" w:hAnsi="Times New Roman" w:cs="Times New Roman"/>
        <w:sz w:val="20"/>
        <w:szCs w:val="20"/>
      </w:rPr>
      <w:t>52492</w:t>
    </w:r>
    <w:r w:rsidRPr="00F96774">
      <w:rPr>
        <w:rFonts w:ascii="Times New Roman" w:hAnsi="Times New Roman" w:cs="Times New Roman"/>
        <w:sz w:val="20"/>
        <w:szCs w:val="20"/>
      </w:rPr>
      <w:tab/>
      <w:t xml:space="preserve">Memorandum of </w:t>
    </w:r>
    <w:r w:rsidR="00F96774">
      <w:rPr>
        <w:rFonts w:ascii="Times New Roman" w:hAnsi="Times New Roman" w:cs="Times New Roman"/>
        <w:sz w:val="20"/>
        <w:szCs w:val="20"/>
      </w:rPr>
      <w:t>Fred Bednarski III</w:t>
    </w:r>
    <w:r w:rsidRPr="00F96774">
      <w:rPr>
        <w:rFonts w:ascii="Times New Roman" w:hAnsi="Times New Roman" w:cs="Times New Roman"/>
        <w:sz w:val="20"/>
        <w:szCs w:val="20"/>
      </w:rPr>
      <w:t xml:space="preserve"> (</w:t>
    </w:r>
    <w:r w:rsidR="00F96774">
      <w:rPr>
        <w:rFonts w:ascii="Times New Roman" w:hAnsi="Times New Roman" w:cs="Times New Roman"/>
        <w:sz w:val="20"/>
        <w:szCs w:val="20"/>
      </w:rPr>
      <w:t>February</w:t>
    </w:r>
    <w:r w:rsidRPr="00F96774">
      <w:rPr>
        <w:rFonts w:ascii="Times New Roman" w:hAnsi="Times New Roman" w:cs="Times New Roman"/>
        <w:sz w:val="20"/>
        <w:szCs w:val="20"/>
      </w:rPr>
      <w:t xml:space="preserve"> </w:t>
    </w:r>
    <w:r w:rsidR="00F96774">
      <w:rPr>
        <w:rFonts w:ascii="Times New Roman" w:hAnsi="Times New Roman" w:cs="Times New Roman"/>
        <w:sz w:val="20"/>
        <w:szCs w:val="20"/>
      </w:rPr>
      <w:t>4</w:t>
    </w:r>
    <w:r w:rsidRPr="00F96774">
      <w:rPr>
        <w:rFonts w:ascii="Times New Roman" w:hAnsi="Times New Roman" w:cs="Times New Roman"/>
        <w:sz w:val="20"/>
        <w:szCs w:val="20"/>
      </w:rPr>
      <w:t xml:space="preserve">, </w:t>
    </w:r>
    <w:r w:rsidR="00F96774">
      <w:rPr>
        <w:rFonts w:ascii="Times New Roman" w:hAnsi="Times New Roman" w:cs="Times New Roman"/>
        <w:sz w:val="20"/>
        <w:szCs w:val="20"/>
      </w:rPr>
      <w:t>2022</w:t>
    </w:r>
    <w:r w:rsidRPr="00F96774">
      <w:rPr>
        <w:rFonts w:ascii="Times New Roman" w:hAnsi="Times New Roman" w:cs="Times New Roman"/>
        <w:sz w:val="20"/>
        <w:szCs w:val="20"/>
      </w:rPr>
      <w:t>)</w:t>
    </w:r>
    <w:r w:rsidR="00AB1CF5" w:rsidRPr="00F96774">
      <w:rPr>
        <w:rFonts w:ascii="Times New Roman" w:hAnsi="Times New Roman" w:cs="Times New Roman"/>
        <w:sz w:val="20"/>
        <w:szCs w:val="20"/>
      </w:rPr>
      <w:tab/>
      <w:t xml:space="preserve">Page 2 of </w:t>
    </w:r>
    <w:r w:rsidR="00F96774">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7"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7"/>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1801"/>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3B84"/>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464"/>
    <w:rsid w:val="003C2DC4"/>
    <w:rsid w:val="003C5BA8"/>
    <w:rsid w:val="003F0E3A"/>
    <w:rsid w:val="003F4564"/>
    <w:rsid w:val="003F5ABB"/>
    <w:rsid w:val="0040075B"/>
    <w:rsid w:val="00401DCB"/>
    <w:rsid w:val="004060C0"/>
    <w:rsid w:val="0041059D"/>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48E7"/>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953A9"/>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54822"/>
    <w:rsid w:val="00965FF9"/>
    <w:rsid w:val="00974E8C"/>
    <w:rsid w:val="00977CC9"/>
    <w:rsid w:val="00985463"/>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1D18"/>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C475E"/>
    <w:rsid w:val="00DE7498"/>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31A"/>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278A"/>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77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2022-02-04T16:50:00Z</dcterms:created>
  <dcterms:modified xsi:type="dcterms:W3CDTF">2022-02-04T16:50:00Z</dcterms:modified>
</cp:coreProperties>
</file>